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Spacing w:w="15" w:type="dxa"/>
        <w:shd w:val="clear" w:color="auto" w:fill="FFFFFF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600"/>
      </w:tblGrid>
      <w:tr w:rsidR="009C0BB5" w:rsidRPr="009C0BB5" w:rsidTr="009C0BB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0BB5" w:rsidRPr="009C0BB5" w:rsidRDefault="009C0BB5" w:rsidP="009C0B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b/>
                <w:bCs/>
                <w:color w:val="CC9900"/>
                <w:sz w:val="42"/>
                <w:szCs w:val="42"/>
                <w:lang w:eastAsia="ru-RU"/>
              </w:rPr>
              <w:t>Профессиональные заболевания работников</w:t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9C0BB5" w:rsidRPr="009C0BB5" w:rsidRDefault="009C0BB5" w:rsidP="009C0BB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9C0BB5" w:rsidRPr="009C0BB5" w:rsidRDefault="009C0BB5" w:rsidP="009C0B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b/>
                <w:bCs/>
                <w:color w:val="999933"/>
                <w:sz w:val="30"/>
                <w:szCs w:val="30"/>
                <w:lang w:eastAsia="ru-RU"/>
              </w:rPr>
              <w:t xml:space="preserve">Практика </w:t>
            </w:r>
            <w:proofErr w:type="spellStart"/>
            <w:r w:rsidRPr="009C0BB5">
              <w:rPr>
                <w:rFonts w:ascii="Arial" w:eastAsia="Times New Roman" w:hAnsi="Arial" w:cs="Arial"/>
                <w:b/>
                <w:bCs/>
                <w:color w:val="999933"/>
                <w:sz w:val="30"/>
                <w:szCs w:val="30"/>
                <w:lang w:eastAsia="ru-RU"/>
              </w:rPr>
              <w:t>правоприменения</w:t>
            </w:r>
            <w:proofErr w:type="spellEnd"/>
            <w:r w:rsidRPr="009C0BB5">
              <w:rPr>
                <w:rFonts w:ascii="Arial" w:eastAsia="Times New Roman" w:hAnsi="Arial" w:cs="Arial"/>
                <w:b/>
                <w:bCs/>
                <w:color w:val="999933"/>
                <w:sz w:val="30"/>
                <w:szCs w:val="30"/>
                <w:lang w:eastAsia="ru-RU"/>
              </w:rPr>
              <w:t>: порядок установления и</w:t>
            </w:r>
            <w:r w:rsidRPr="009C0BB5">
              <w:rPr>
                <w:rFonts w:ascii="Arial" w:eastAsia="Times New Roman" w:hAnsi="Arial" w:cs="Arial"/>
                <w:b/>
                <w:bCs/>
                <w:color w:val="999933"/>
                <w:sz w:val="30"/>
                <w:szCs w:val="30"/>
                <w:lang w:eastAsia="ru-RU"/>
              </w:rPr>
              <w:br/>
              <w:t>расследования профессиональных заболеваний работников</w:t>
            </w:r>
          </w:p>
          <w:p w:rsidR="009C0BB5" w:rsidRPr="009C0BB5" w:rsidRDefault="009C0BB5" w:rsidP="009C0B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9C0BB5" w:rsidRPr="009C0BB5" w:rsidRDefault="009C0BB5" w:rsidP="009C0B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b/>
                <w:bCs/>
                <w:i/>
                <w:iCs/>
                <w:color w:val="DAA520"/>
                <w:sz w:val="24"/>
                <w:szCs w:val="24"/>
                <w:lang w:eastAsia="ru-RU"/>
              </w:rPr>
              <w:t>Профессиональное заболевание – это хроническое или острое заболевание застрахованного вследствие воздействия на него вредных производственных факторов, которые повлекли временную или стойкую утрату им профессиональной трудоспособности (</w:t>
            </w:r>
            <w:proofErr w:type="spellStart"/>
            <w:r w:rsidRPr="009C0BB5">
              <w:rPr>
                <w:rFonts w:ascii="Arial" w:eastAsia="Times New Roman" w:hAnsi="Arial" w:cs="Arial"/>
                <w:b/>
                <w:bCs/>
                <w:i/>
                <w:iCs/>
                <w:color w:val="DAA520"/>
                <w:sz w:val="24"/>
                <w:szCs w:val="24"/>
                <w:lang w:eastAsia="ru-RU"/>
              </w:rPr>
              <w:t>абз</w:t>
            </w:r>
            <w:proofErr w:type="spellEnd"/>
            <w:r w:rsidRPr="009C0BB5">
              <w:rPr>
                <w:rFonts w:ascii="Arial" w:eastAsia="Times New Roman" w:hAnsi="Arial" w:cs="Arial"/>
                <w:b/>
                <w:bCs/>
                <w:i/>
                <w:iCs/>
                <w:color w:val="DAA520"/>
                <w:sz w:val="24"/>
                <w:szCs w:val="24"/>
                <w:lang w:eastAsia="ru-RU"/>
              </w:rPr>
              <w:t>. 11 ст. 3 Закона № 125-ФЗ).</w:t>
            </w:r>
          </w:p>
          <w:p w:rsidR="009C0BB5" w:rsidRPr="009C0BB5" w:rsidRDefault="009C0BB5" w:rsidP="009C0B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9C0BB5" w:rsidRPr="009C0BB5" w:rsidRDefault="009C0BB5" w:rsidP="009C0BB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этом под хроническим понимается заболевание, которое возникло в результате длительного воздействия на работника вредного производственного фактора (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абз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 п. 4 Положения о расследовании и учете профессиональных заболеваний, утвержденного Постановлением Правительства РФ от 15.12.2000 № 967 (далее – Положение о расследовании профзаболеваний)).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Например, причиной хронических профессиональных заболеваний органов дыхания сварщиков могут являться поступающие в зону дыхания сварочные аэрозоли, которые содержат железо, кремний, никель, титан, медь, алюминий и другие металлы (п. 1.2.4 Межотраслевых правил по охране труда при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газоплазменной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обработке материалов, утвержденных Постановлением Минтруда России от 14.08.2002 № 55).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 острым понимается заболевание, которое стало результатом однократного (в течение не более одного рабочего дня, одной рабочей смены) воздействия на работника вредного производственного фактора (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абз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1 п. 4 Положения о расследовании профзаболеваний).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Примером острого профессионального заболевания может являться лучевая болезнь, возникшая в результате аварии на </w:t>
            </w:r>
            <w:proofErr w:type="spellStart"/>
            <w:r w:rsidRPr="009C0B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ядерно</w:t>
            </w:r>
            <w:proofErr w:type="spellEnd"/>
            <w:r w:rsidRPr="009C0B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опасном объекте.</w:t>
            </w:r>
          </w:p>
          <w:p w:rsidR="009C0BB5" w:rsidRPr="009C0BB5" w:rsidRDefault="009C0BB5" w:rsidP="009C0B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Для того чтобы профессиональное заболевание было признано страховым случаем, необходимо соблюдение двух условий (пп. 5 п. 2 ст. 17 Закона № 125-ФЗ, Положение о расследовании профзаболеваний):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  <w:p w:rsidR="009C0BB5" w:rsidRPr="009C0BB5" w:rsidRDefault="009C0BB5" w:rsidP="009C0BB5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профзаболевание работника должно быть установлено медицинской организацией в надлежащем порядке;</w:t>
            </w:r>
          </w:p>
          <w:p w:rsidR="009C0BB5" w:rsidRPr="009C0BB5" w:rsidRDefault="009C0BB5" w:rsidP="009C0BB5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обстоятельства и причины профзаболевания должны быть расследованы работодателем.</w:t>
            </w:r>
          </w:p>
          <w:p w:rsidR="009C0BB5" w:rsidRPr="009C0BB5" w:rsidRDefault="009C0BB5" w:rsidP="009C0BB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b/>
                <w:bCs/>
                <w:color w:val="FF8C00"/>
                <w:sz w:val="24"/>
                <w:szCs w:val="24"/>
                <w:lang w:eastAsia="ru-RU"/>
              </w:rPr>
              <w:t>КАК УСТАНАВЛИВАЕТСЯ ПРОФЗАБОЛЕВАНИЕ?</w:t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9C0BB5" w:rsidRPr="009C0BB5" w:rsidRDefault="009C0BB5" w:rsidP="009C0BB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Первоначально заболевание выявляется при обращении работника в учреждение здравоохранения. Если при этом будут обнаружены признаки острого или хронического профзаболевания, то медучреждение направит работодателю Извещение об установлении предварительного диагноза острого или хронического профессионального заболевания (отравления) (п. 7 Положения о расследовании профзаболеваний). Его форма утверждена Приказом Минздрава России от 28.05.2001 № 176 (Приложение № 1).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Отметим, что ФСС РФ полагает, что работодатель, получивший извещение о предварительном диагнозе, должен сообщить в орган ФСС РФ о «подозрении на страховой случай». Такие разъяснения даны в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абз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 разд. 5 Обзора по вопросам экспертизы страховых случаев в связи с профессиональным заболеванием, направленного Письмом ФСС РФ от 29.04.2005 № 02-18/06-3810 (далее – Обзор экспертизы страховых </w:t>
            </w:r>
            <w:proofErr w:type="gram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случаев)...</w:t>
            </w:r>
            <w:proofErr w:type="gramEnd"/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9C0BB5" w:rsidRPr="009C0BB5" w:rsidTr="009C0BB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0BB5" w:rsidRPr="009C0BB5" w:rsidRDefault="009C0BB5" w:rsidP="009C0BB5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C0BB5" w:rsidRPr="009C0BB5" w:rsidTr="009C0BB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0BB5" w:rsidRPr="009C0BB5" w:rsidRDefault="009C0BB5" w:rsidP="009C0BB5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</w:p>
          <w:p w:rsidR="009C0BB5" w:rsidRPr="009C0BB5" w:rsidRDefault="009C0BB5" w:rsidP="009C0BB5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b/>
                <w:bCs/>
                <w:color w:val="999933"/>
                <w:sz w:val="30"/>
                <w:szCs w:val="30"/>
                <w:lang w:eastAsia="ru-RU"/>
              </w:rPr>
              <w:t>Воздействие на здоровье работников высоких и низких температур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b/>
                <w:bCs/>
                <w:color w:val="FF8C00"/>
                <w:sz w:val="24"/>
                <w:szCs w:val="24"/>
                <w:lang w:eastAsia="ru-RU"/>
              </w:rPr>
              <w:t>ВОЗДЕЙСТВИЕ ПОВЫШЕННОЙ ТЕМПЕРАТУРЫ НА ОРГАНИЗМ ЧЕЛОВЕКА</w:t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b/>
                <w:bCs/>
                <w:i/>
                <w:iCs/>
                <w:color w:val="DAA520"/>
                <w:sz w:val="24"/>
                <w:szCs w:val="24"/>
                <w:lang w:eastAsia="ru-RU"/>
              </w:rPr>
              <w:t>Трудовая деятельность человека на открытом воздухе может сопровождаться воздействием низких, высоких температур. Это относится к сельскохозяйственным рабочим, строителям, горнорабочим, шахтерам, нефтяникам, лесозаготовителям, рыбакам. Некоторые производственные процессы могут сопровождаться влиянием интенсивного теплового излучения. В основном это цеха литейного производства.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color w:val="DAA520"/>
                <w:sz w:val="24"/>
                <w:szCs w:val="24"/>
                <w:lang w:eastAsia="ru-RU"/>
              </w:rPr>
              <w:t> 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A9A9A9"/>
                <w:sz w:val="24"/>
                <w:szCs w:val="24"/>
                <w:lang w:eastAsia="ru-RU"/>
              </w:rPr>
              <w:drawing>
                <wp:inline distT="0" distB="0" distL="0" distR="0" wp14:anchorId="0189D578" wp14:editId="49F15BA5">
                  <wp:extent cx="3333750" cy="2219325"/>
                  <wp:effectExtent l="0" t="0" r="0" b="9525"/>
                  <wp:docPr id="1" name="Рисунок 1" descr="https://proxy.imgsmail.ru/?email=ohr_truda%40mail.ru&amp;e=1503628614&amp;h=m2o38KMlnXI5EO_hW4WvVA&amp;url171=d3d3LnRydWRjb250cm9sLnJ1L2ZpbGVzL2VkaXRvci9pbWFnZXMvUGljdHVyZXMvSWxsdXN0cmF0aW9ucy8lRDAlOUYlRDAlQkUlRDAlQjYlRDAlQjAlRDElODAvMTc3XzEuanBn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imgsmail.ru/?email=ohr_truda%40mail.ru&amp;e=1503628614&amp;h=m2o38KMlnXI5EO_hW4WvVA&amp;url171=d3d3LnRydWRjb250cm9sLnJ1L2ZpbGVzL2VkaXRvci9pbWFnZXMvUGljdHVyZXMvSWxsdXN0cmF0aW9ucy8lRDAlOUYlRDAlQkUlRDAlQjYlRDAlQjAlRDElODAvMTc3XzEuanBn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BB5">
              <w:rPr>
                <w:rFonts w:ascii="Arial" w:eastAsia="Times New Roman" w:hAnsi="Arial" w:cs="Arial"/>
                <w:b/>
                <w:bCs/>
                <w:i/>
                <w:iCs/>
                <w:color w:val="A9A9A9"/>
                <w:sz w:val="24"/>
                <w:szCs w:val="24"/>
                <w:lang w:eastAsia="ru-RU"/>
              </w:rPr>
              <w:t>Клиническая картина.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 перегревах различают формы заболевания: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гинертермическую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судорожную. К перегревам относят солнечный удар. Гипертермическая форма перегрева может возникнуть внезапно или постепенно. В легких случаях отмечаются головная боль, головокружение, общая слабость, сухость во рту, жажда, шум в ушах, потемнение перед глазами, иногда предметы кажутся окрашенными в зеленый или красный цвет, появляется рвота. Температура тела повышается до 38-39 °С. Кожа, особенно лица, гиперемирована, на ощупь горячая и влажная. Дыхание поверхностное и учащенное. Пульс частый, слабого наполнения. Все указанные явления при оказании соответствующей медицинской помощи быстро исчезают, и обычно спустя 1-2 дня заступает полное выздоровление.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Тяжелое течение гипертермической формы перегрева наблюдается при так называемом тепловом ударе, который может сопровождаться коллапсом и потерей сознания. Кожные покровы при этом бледные, с синюшным оттенком; температура тела повышена до 40-41 °С, отмечается выраженное потоотделение. Пульс и дыхание учащены. Появляются 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болезненные ощущения в икроножных мышцах в виде чувства стягивания, подергивания отдельных групп мышц. Возможны эпилептические припадки, кризы тетанического характера, расстройства психической сферы (двигательное возбуждение, галлюцинации, бредовое состояние) с последующим переходом в кому.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Судорожная форма перегрева возникает обычно остро при резком нарушении водно-солевого обмена вследствие прогрессирующего обезвоживания организма. В этих случаях наряду с явлениями, характерными для теплового удара, наблюдаются выраженные тетанические судороги, распространяющиеся на различные группы мышц, особенно икроножные, бедер, плеч, предплечий, и резкая болезненность их во время движений. Больные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адинамичны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черты лица их заострены, вокруг глаз темные круги. Кожа приобретает синюшный оттенок, сухая, на ощупь холодная. Отмечается расстройство сердечно-сосудистой деятельности: пульс учащенный, до 110-120 ударов в минуту, нитевидный, артериальное давление низкое, тоны сердца глухие. Диурез 50-100 мл в сутки, содержание хлоридов в моче резко снижено. Выявляются признаки сгущения крови: увеличивается количество эритроцитов и гемоглобина, повышается вязкость крови. В тяжелых случаях появляются эпилептические припадки, а иногда параличи или расстройства психики.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После перенесенной судорожной формы перегрева может наблюдаться полное выздоровление; иногда восстановление здоровья протекает медленно, могут сохраняться нервно-психические расстройства. В редких случаях остаются стойкие изменения в центральной нервной системе. Солнечный удар является своеобразной формой перегрева, обусловленной непосредственным локальным действием солнечных лучей на незащищенную голову, при этом может не наблюдаться общего перегревания организма. </w:t>
            </w:r>
            <w:proofErr w:type="gram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Появляются</w:t>
            </w:r>
            <w:proofErr w:type="gram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общая слабость, чувство недомогания, головная боль, головокружение, мелькание «мушек» перед глазами, стеснение в грудной клетке, шум в ушах, иногда носовые кровотечения, тошнота, рвота, расстройства стула. Кожа лица становится красной, усиливается потоотделение. В тяжелых стадиях заболевания возникают выраженные нарушения со стороны центральной нервной системы; затемненное сознание, резкое возбуждение, судороги, непроизвольные движения, эпилептиформные припадки, галлюцинации, бред. Повышение температуры тела нехарактерно.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Помимо указанных форм перегревов, у лиц, систематически работающих в условиях воздействия высоких температур, могут наблюдаться функциональные расстройства со стороны нервной и сердечно-сосудистой систем, желудочно-кишечного тракта, почек, которые обусловлены сдвигами в водно-солевом обмене и повышенным распадом белков. Клинически такие изменения проявляются неврастенией, сосудистой гипотонией, угнетением секреторной функции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желудочныx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желез, понижением концентрационной функции почек. Тепловое излучение в производственных условиях может сочетаться с инфракрасным (в горячих цехах) или ультрафиолетовым (при газо- и электросварке) излучением. Инфракрасное излучение вызывает развитие катаракты, а ультрафиолетовое – острые </w:t>
            </w:r>
            <w:proofErr w:type="spellStart"/>
            <w:proofErr w:type="gram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кератоконъюнктивиты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электроофтальмию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b/>
                <w:bCs/>
                <w:color w:val="FF8C00"/>
                <w:sz w:val="24"/>
                <w:szCs w:val="24"/>
                <w:lang w:eastAsia="ru-RU"/>
              </w:rPr>
              <w:t>ВОЗДЕЙСТВИЕ ПОНИЖЕННЫХ ТЕМПЕРАТУР НА ОРГАНИЗМ ЧЕЛОВЕКА</w:t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b/>
                <w:bCs/>
                <w:i/>
                <w:iCs/>
                <w:color w:val="DAA520"/>
                <w:sz w:val="24"/>
                <w:szCs w:val="24"/>
                <w:lang w:eastAsia="ru-RU"/>
              </w:rPr>
              <w:t>Трудовая деятельность человека на открытом воздухе может сопровождаться воздействием низких, высоких температур. Это относится к сельскохозяйственным рабочим, строителям, горнорабочим, шахтерам, нефтяникам, лесозаготовителям, рыбакам. Некоторые производственные процессы могут сопровождаться влиянием интенсивного теплового излучения. В основном это литейные, прокатные, мартеновские цеха.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 воздействии низких температур и повышенной влажности развивается 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облитерирующий эндартериит. Признаками заболевания являются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побеление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кожи пальцев, понижение болевой чувствительности, парестезии, затрудненное движение конечностей и ослабление пульса на периферических сосудах. Различают четыре стадии облитерирующего эндартериита: Первая стадия (спастическая) заболевания характеризуется функциональными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ангиоспастическими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нарушениями. У больных появляются боль, чувство похолодания и онемения в конечностях, ослабление пульса на периферических сосудах.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Такие явления могут наблюдаться длительное время, периодически исчезая и вновь появляясь. При II стадии (ишемической)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ангиоспастический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синдром становится более постоянным и выраженным вследствие развития стойких структурных изменений в стенках сосудов. В этой стадии возможно образование тромбов в сосудах. Третья стадия (некротическая) характеризуется появлением язв на конечностях, обусловленных нарушением питания тканей. При IV стадии (гангренозной) наблюдается развитие сухой или влажной гангрены.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возникновении облитерирующего эндартериита, помимо охлаждения, большое значение имеет повышенная влажность. Отморожение, как и облитерирующий эндартериит, характеризуется локальными повреждениями тканей организма вследствие воздействия холода...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</w:p>
          <w:p w:rsidR="009C0BB5" w:rsidRPr="009C0BB5" w:rsidRDefault="009C0BB5" w:rsidP="009C0BB5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bookmarkStart w:id="0" w:name="_GoBack"/>
            <w:bookmarkEnd w:id="0"/>
            <w:r w:rsidRPr="009C0BB5">
              <w:rPr>
                <w:rFonts w:ascii="Arial" w:eastAsia="Times New Roman" w:hAnsi="Arial" w:cs="Arial"/>
                <w:b/>
                <w:bCs/>
                <w:color w:val="999933"/>
                <w:sz w:val="30"/>
                <w:szCs w:val="30"/>
                <w:lang w:eastAsia="ru-RU"/>
              </w:rPr>
              <w:t>Влияние запыленности производственной среды</w:t>
            </w:r>
          </w:p>
          <w:p w:rsidR="009C0BB5" w:rsidRPr="009C0BB5" w:rsidRDefault="009C0BB5" w:rsidP="009C0BB5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Pr="009C0BB5">
                <w:rPr>
                  <w:rFonts w:ascii="Arial" w:eastAsia="Times New Roman" w:hAnsi="Arial" w:cs="Arial"/>
                  <w:b/>
                  <w:bCs/>
                  <w:color w:val="999933"/>
                  <w:sz w:val="30"/>
                  <w:szCs w:val="30"/>
                  <w:u w:val="single"/>
                  <w:lang w:eastAsia="ru-RU"/>
                </w:rPr>
                <w:t>на здоровье работников</w:t>
              </w:r>
            </w:hyperlink>
          </w:p>
          <w:p w:rsidR="009C0BB5" w:rsidRPr="009C0BB5" w:rsidRDefault="009C0BB5" w:rsidP="009C0BB5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9C0BB5" w:rsidRPr="009C0BB5" w:rsidRDefault="009C0BB5" w:rsidP="009C0BB5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b/>
                <w:bCs/>
                <w:i/>
                <w:iCs/>
                <w:color w:val="DAA520"/>
                <w:sz w:val="24"/>
                <w:szCs w:val="24"/>
                <w:lang w:eastAsia="ru-RU"/>
              </w:rPr>
              <w:t>Производственная пыль является одним из неблагоприятных факторов, влияющих на здоровье человека. Первые сведения о возможности развития заболеваний легких в результате вдыхания пыли при горнорудных работах встречаются в древнегреческой и древнеримской литературе. Однако по представленным в то время описаниям еще трудно сказать, о каких конкретных формах пылевых заболеваний легких шла речь. Можно предположить, что скорее всего это были пневмокониоз, кониотуберкулез, хронический пылевой бронхит.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Только с середины прошлого столетия стали постепенно накапливаться наблюдения, позволившие к настоящему времени выделить нозологические формы пылевых заболеваний легких. Среди отечественных ученых и врачей большой вклад в изучение патогенеза, клиники, диагностики, профилактики и лечения пылевых болезней легких внесли И. Н. Кавалеров, Д. А.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Карпиловский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И. М. Пейсахович, И. Г.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Гельман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Н. А. Вигдорчик, С. М. Генкин, М. А.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Ковнацкий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П. П. Движков, М. В. Евгенова, К. П. Молоканов и др.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В различных отраслях промышленности и сельском хозяйстве многие производственные процессы связаны с образованием пыли. Это горнорудная, угледобывающая промышленность; металлургические, металлообрабатывающие и машиностроительные предприятия; производства строительных материалов; электросварочные работы; труд на 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текстильных предприятиях; обработка сельскохозяйственных продуктов (зерна, хлопка, льна и др.).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Производственная пыль по своему составу, физическим свойствам и химической природе весьма разнообразна. Физико-химические свойства пыли во многом определяют характер воздействия на человека. Поэтому следует учитывать форму, растворимость, структуру (аморфная или кристаллическая), адсорбционную способность,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электрозарядность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размеры пылевых частиц. </w:t>
            </w:r>
            <w:proofErr w:type="gram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</w:t>
            </w:r>
            <w:proofErr w:type="gram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значение и химическая природа пыли. По составу различают пыль неорганическую, органическую и смешанную. Пыль, состоящая из минералов или металлов, относится к неорганической. Органическая пыль содержит частицы растительного или животного происхождения, а также микроорганизмы, обычно находящиеся на них, и продукты их жизнедеятельности. В состав смешанной пыли могут входить различные — как неорганические, так и органические — частицы или смесь неорганических и органических частиц.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пылеобразном состоянии могут находиться и некоторые твердые токсические вещества, например, свинец, фосфор, мышьяк, сурьма, бор и др., а также их соединения. Однако их не относят к группе пылевых факторов, поэтому они не рассматриваться в данном разделе. В производственных условиях пыль проникает в организм человека через дыхательные пути и скапливается в легких. При этом для клинической картины пылевых болезней характерно поражение легочной ткани или дыхательных путей с развитием или пневмосклероза, или хронического бронхита, или бронхиальной астмы, а также различных сочетаний указанных форм. При проникновении в легкие пыли токсических веществ не всегда отмечаются поражения легочной ткани и воздухоносных путей (это можно наблюдать на примере пыли свинца).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Пневмосклероз, возникший вследствие вдыхания пыли,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Ценкер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1866 г. предложил называть «пневмокониоз», что по-гречески обозначает запыление легких (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pneumon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легкое,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conion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пыль). Пневмокониоз возникает преимущественно при воздействии пыли различных минералов, в том числе двуокиси кремния, силикатов (каолин, тальк, асбест, цемент), антракозом называется пневмокониоз при воздействии пыли каменного угля,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металлокониоз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возникает от воздействия пыли с содержанием некоторых металлов (железо, алюминий, барий, олово и др.). Особо необходимо выделить пыль с содержанием ванадия, бериллия, молибдена, вольфрама, ниобия, кобальта. Реже пневмокониоз возникает от органической пыли (зерновая, хлопковая, древесная, льняная пыль и др.) и смешанной пыли (электросварочный аэрозоль, смесь кварцсодержащей и металлической пыли и т.п.).</w:t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зависимости от вида пыли, вызвавшей развитие пневмокониоза, различают и соответствующие виды пневмокониоза. Так, силикозом называют пневмокониоз, обусловленный воздействием двуокиси кремния,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силикатозом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воздействием различных силикатов (в частности, каолина –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каолиноз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талька –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талькоз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асбеста –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асбестоз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т. п.), сидерозом – железосодержащей пыли и смешанные формы пневмокониозов обозначают с учетом состава пыли, например,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силикоантракоз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силикосидероз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т.п. Сочетание пневмокониоза с туберкулезом легких обозначают как кониотуберкулез; при этом в зависимости от вида пыли различают силикотуберкулез,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антракотуберкулез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т.д. ...</w:t>
            </w:r>
          </w:p>
          <w:p w:rsidR="009C0BB5" w:rsidRPr="009C0BB5" w:rsidRDefault="009C0BB5" w:rsidP="009C0BB5">
            <w:pPr>
              <w:spacing w:after="0" w:line="24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</w:p>
          <w:p w:rsidR="009C0BB5" w:rsidRPr="009C0BB5" w:rsidRDefault="009C0BB5" w:rsidP="009C0BB5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</w:p>
          <w:p w:rsidR="009C0BB5" w:rsidRPr="009C0BB5" w:rsidRDefault="009C0BB5" w:rsidP="009C0BB5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b/>
                <w:bCs/>
                <w:color w:val="999933"/>
                <w:sz w:val="30"/>
                <w:szCs w:val="30"/>
                <w:lang w:eastAsia="ru-RU"/>
              </w:rPr>
              <w:lastRenderedPageBreak/>
              <w:t>Вибрационная болезнь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Arial" w:eastAsia="Times New Roman" w:hAnsi="Arial" w:cs="Arial"/>
                <w:b/>
                <w:bCs/>
                <w:i/>
                <w:iCs/>
                <w:color w:val="DAA520"/>
                <w:sz w:val="24"/>
                <w:szCs w:val="24"/>
                <w:lang w:eastAsia="ru-RU"/>
              </w:rPr>
              <w:t>По мере технического прогресса в современном производстве все шире используются различные механизмы и новые технологические процессы. Это в свою очередь обусловливает воздействие на организм работающих различных неблагоприятных физических факторов, таких, как вибрация, шум, электромагнитные волны радиочастотного и оптического диапазона.</w:t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9C0BB5" w:rsidRPr="009C0BB5" w:rsidRDefault="009C0BB5" w:rsidP="009C0BB5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C0BB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Профессиональные заболевания, обусловленные воздействием физических факторов производственной среды, могут встречаться в различных отраслях народного хозяйства: в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-, судо- и самолетостроении, электронной и радиотехнической, строительной и горнорудной промышленности, сельском хозяйстве и др. Все заболевания, обусловленные воздействием того или иного физического фактора, отличаются своеобразием патологического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симптомокомплекса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полисиндромностью</w:t>
            </w:r>
            <w:proofErr w:type="spellEnd"/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наличием специфических и чаще неспецифических симптомов, что создает определенные диагностические трудности. В то же время осуществление ранней диагностики, своевременного лечения, рационального решения вопросов врачебно-трудовой экспертизы и реабилитации – необходимое условие для успешного проведения лечебно-профилактических мероприятий.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9C0B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Вибрационная болезнь – профессиональное заболевание, отличающееся многообразием клинической симптоматики и особенностью течения. Основным этиологическим фактором является производственная вибрация. Значительную роль в развитии заболевания играют также сопутствующие профессиональные факторы: шум, охлаждение, значительное статическое напряжение мышц плеча и плечевого пояса, вынужденное положение тела и т.д. Они могут способствовать более быстрому развитию патологического процесса и обусловить некоторые особенности клинической картины.</w:t>
            </w:r>
          </w:p>
        </w:tc>
      </w:tr>
    </w:tbl>
    <w:p w:rsidR="00257133" w:rsidRDefault="00257133"/>
    <w:sectPr w:rsidR="0025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4858"/>
    <w:multiLevelType w:val="multilevel"/>
    <w:tmpl w:val="343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5"/>
    <w:rsid w:val="00257133"/>
    <w:rsid w:val="009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6F6B7-9641-4D48-8757-9D965D63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out.link.sendsay.ru/kiout/2904,iq1aJ_EOfFangHtvkbdjbg/395,4914372,6279,?aHR0cDovL3d3dy50cnVkY29udHJvbC5ydS9wcmVzcy9wdWJsaWNhdGlvbnMvMjM0MjQvcHJvZmVzc2lvbmFsbmllLWJvbGV6bmktY2hhc3QtNi12bGl5YW5pZS16YXBpbGVubm9zdGktcHJvaXp2b2RzdHZlbm5veS1zcmVkaS1uYS16ZG9yb3ZlLXJhYm90bmlrb3Y/dXRtX3NvdXJjZT1TZW5kc2F5JnV0bV9tZWRpdW09ZW1haWwmdXRtX2NhbXBhaWduPW9iem9yX3BvX290Ll9vc25vdm5veV8yMS4wOC4yMDE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2380</Words>
  <Characters>13570</Characters>
  <Application>Microsoft Office Word</Application>
  <DocSecurity>0</DocSecurity>
  <Lines>113</Lines>
  <Paragraphs>31</Paragraphs>
  <ScaleCrop>false</ScaleCrop>
  <Company/>
  <LinksUpToDate>false</LinksUpToDate>
  <CharactersWithSpaces>15919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2017-08-22T01:37:00Z</dcterms:created>
  <dcterms:modified xsi:type="dcterms:W3CDTF">2017-08-22T01:38:00Z</dcterms:modified>
</cp:coreProperties>
</file>